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7F871BFC" w:rsidR="00D93B64" w:rsidRDefault="00E41B59" w:rsidP="00516328">
            <w:pPr>
              <w:jc w:val="center"/>
            </w:pPr>
            <w:r>
              <w:t>Air Rifles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42529850" w:rsidR="00D93B64" w:rsidRDefault="00F23E35" w:rsidP="00516328">
            <w:pPr>
              <w:jc w:val="center"/>
            </w:pPr>
            <w:r>
              <w:t>2</w:t>
            </w:r>
            <w:r w:rsidR="00D436FE">
              <w:t>5</w:t>
            </w:r>
            <w:r>
              <w:t>.</w:t>
            </w:r>
            <w:r w:rsidR="00D436FE">
              <w:t>6</w:t>
            </w:r>
            <w:r>
              <w:t>.24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3BF3B09D" w14:textId="77777777" w:rsidR="00D93B64" w:rsidRDefault="000F0F6F" w:rsidP="004F5F72">
            <w:pPr>
              <w:jc w:val="center"/>
            </w:pPr>
            <w:r>
              <w:t>Graham Thorpe</w:t>
            </w:r>
          </w:p>
          <w:p w14:paraId="462C44AD" w14:textId="464AE140" w:rsidR="003A1E59" w:rsidRDefault="00E71EBF" w:rsidP="004F5F72">
            <w:pPr>
              <w:jc w:val="center"/>
            </w:pPr>
            <w:r>
              <w:t>John Gibson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6E5F381B" w:rsidR="00D93B64" w:rsidRDefault="00F23E35" w:rsidP="00516328">
            <w:pPr>
              <w:jc w:val="center"/>
            </w:pPr>
            <w:r>
              <w:t>May 202</w:t>
            </w:r>
            <w:r w:rsidR="00807E67">
              <w:t>9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DE4007" w:rsidRDefault="009742CC" w:rsidP="009742CC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Hazard</w:t>
            </w:r>
            <w:r w:rsidRPr="00DE400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DE400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Risk</w:t>
            </w:r>
            <w:r w:rsidRPr="00DE400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DE400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3419D307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5DC17062" w14:textId="77777777" w:rsidR="00AF33E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Visitors</w:t>
            </w:r>
            <w:r w:rsidR="00DB78DB" w:rsidRPr="001D0159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Controls</w:t>
            </w:r>
            <w:r w:rsidRPr="00DE4007">
              <w:rPr>
                <w:i/>
                <w:iCs/>
              </w:rPr>
              <w:t xml:space="preserve"> – Ways of making the activity safer by removing or reducing the risk from it. For example - you might use a different piece of equipment or you might change the way the activity is carried out.</w:t>
            </w:r>
          </w:p>
          <w:p w14:paraId="09D9D523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135595E8" w14:textId="7DC5E651" w:rsidR="00AF33EB" w:rsidRPr="00DE4007" w:rsidRDefault="009742CC" w:rsidP="00C321E0">
            <w:pPr>
              <w:jc w:val="both"/>
              <w:rPr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</w:tc>
      </w:tr>
      <w:tr w:rsidR="00A95235" w:rsidRPr="00D15185" w14:paraId="798A52AC" w14:textId="77777777" w:rsidTr="082EDB05">
        <w:tc>
          <w:tcPr>
            <w:tcW w:w="3847" w:type="dxa"/>
          </w:tcPr>
          <w:p w14:paraId="32DBA4CD" w14:textId="4ED02302" w:rsidR="001D3E27" w:rsidRPr="009B5E16" w:rsidRDefault="00A32096" w:rsidP="00A95235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>Misuse of rifles</w:t>
            </w:r>
          </w:p>
          <w:p w14:paraId="21DBEB0E" w14:textId="13B9BC85" w:rsidR="003A1E59" w:rsidRDefault="003A1E59" w:rsidP="00A95235">
            <w:r>
              <w:t>-Risk of misfire</w:t>
            </w:r>
          </w:p>
          <w:p w14:paraId="5781F3A3" w14:textId="459C68D9" w:rsidR="003A1E59" w:rsidRDefault="003A1E59" w:rsidP="00A95235">
            <w:r>
              <w:t xml:space="preserve">-Risk of trapment of fingers &amp; part of hand in breach </w:t>
            </w:r>
          </w:p>
          <w:p w14:paraId="797DED65" w14:textId="77777777" w:rsidR="003A1E59" w:rsidRDefault="003A1E59" w:rsidP="003A1E59">
            <w:r>
              <w:t>-Risk of eye trauma / blindness</w:t>
            </w:r>
          </w:p>
          <w:p w14:paraId="65048562" w14:textId="6F093200" w:rsidR="003A1E59" w:rsidRDefault="003A1E59" w:rsidP="003A1E59">
            <w:r>
              <w:t>-Risk of impact injury</w:t>
            </w:r>
          </w:p>
          <w:p w14:paraId="1B02718C" w14:textId="2539BB85" w:rsidR="003A1E59" w:rsidRPr="00FD50DB" w:rsidRDefault="003A1E59" w:rsidP="00A95235">
            <w:pPr>
              <w:rPr>
                <w:color w:val="000000" w:themeColor="text1"/>
              </w:rPr>
            </w:pPr>
          </w:p>
        </w:tc>
        <w:tc>
          <w:tcPr>
            <w:tcW w:w="1818" w:type="dxa"/>
          </w:tcPr>
          <w:p w14:paraId="47CAC0A8" w14:textId="09BCDCEA" w:rsidR="00A95235" w:rsidRPr="00E207B1" w:rsidRDefault="00E207B1" w:rsidP="009001C4">
            <w:pPr>
              <w:rPr>
                <w:color w:val="000000" w:themeColor="text1"/>
              </w:rPr>
            </w:pPr>
            <w:r w:rsidRPr="00E207B1">
              <w:rPr>
                <w:color w:val="000000" w:themeColor="text1"/>
              </w:rPr>
              <w:t>Participants / Instructor in Range</w:t>
            </w:r>
          </w:p>
        </w:tc>
        <w:tc>
          <w:tcPr>
            <w:tcW w:w="5877" w:type="dxa"/>
          </w:tcPr>
          <w:p w14:paraId="2978A03D" w14:textId="77777777" w:rsidR="001E47DB" w:rsidRPr="001E47DB" w:rsidRDefault="001E47DB" w:rsidP="001E47DB">
            <w:pPr>
              <w:jc w:val="both"/>
              <w:rPr>
                <w:b/>
                <w:bCs/>
              </w:rPr>
            </w:pPr>
            <w:r w:rsidRPr="001E47DB">
              <w:rPr>
                <w:b/>
                <w:bCs/>
              </w:rPr>
              <w:t xml:space="preserve">Participants are only allowed to handle the rifles when they are being supervised by an NSRA (National Small Bore Rifle Assn) qualified instructor </w:t>
            </w:r>
          </w:p>
          <w:p w14:paraId="2F4820F1" w14:textId="77777777" w:rsidR="001E47DB" w:rsidRPr="001E47DB" w:rsidRDefault="001E47DB" w:rsidP="225CC2E2">
            <w:pPr>
              <w:jc w:val="both"/>
              <w:rPr>
                <w:b/>
                <w:bCs/>
              </w:rPr>
            </w:pPr>
          </w:p>
          <w:p w14:paraId="2664C671" w14:textId="5384F8C3" w:rsidR="001E47DB" w:rsidRDefault="00AA1CF4" w:rsidP="225CC2E2">
            <w:pPr>
              <w:jc w:val="both"/>
            </w:pPr>
            <w:r>
              <w:t>All participants to be given</w:t>
            </w:r>
            <w:r w:rsidR="00A32096">
              <w:t xml:space="preserve"> safety</w:t>
            </w:r>
            <w:r>
              <w:t xml:space="preserve"> briefing prior to the commencement of the activity in the waiting / viewing room</w:t>
            </w:r>
            <w:r w:rsidR="001E47DB">
              <w:t xml:space="preserve">, where the </w:t>
            </w:r>
            <w:r w:rsidR="00A32096">
              <w:t>rules explained to them at the beginning of the session</w:t>
            </w:r>
          </w:p>
          <w:p w14:paraId="207ABA00" w14:textId="17F3C5DE" w:rsidR="001E47DB" w:rsidRDefault="001E47DB" w:rsidP="225CC2E2">
            <w:pPr>
              <w:jc w:val="both"/>
            </w:pPr>
            <w:r>
              <w:t>A trained</w:t>
            </w:r>
            <w:r w:rsidR="00A32096">
              <w:t xml:space="preserve"> instructor</w:t>
            </w:r>
            <w:r>
              <w:t xml:space="preserve"> must be in range at all times whilst shooting is taking place and they are</w:t>
            </w:r>
            <w:r w:rsidR="00A32096">
              <w:t xml:space="preserve"> to remain vigilant </w:t>
            </w:r>
            <w:r>
              <w:t xml:space="preserve">at </w:t>
            </w:r>
          </w:p>
          <w:p w14:paraId="37323180" w14:textId="7DFA8D3E" w:rsidR="001E47DB" w:rsidRDefault="00A32096" w:rsidP="225CC2E2">
            <w:pPr>
              <w:jc w:val="both"/>
            </w:pPr>
            <w:r>
              <w:t xml:space="preserve">Anyone misusing the rifle or not paying attention to the safety rules is stopped from taking part in the activity </w:t>
            </w:r>
          </w:p>
          <w:p w14:paraId="49A8D457" w14:textId="77777777" w:rsidR="00D35BE5" w:rsidRDefault="00A32096" w:rsidP="225CC2E2">
            <w:pPr>
              <w:jc w:val="both"/>
            </w:pPr>
            <w:r>
              <w:t>Participants are not left alone with rifles</w:t>
            </w:r>
            <w:r w:rsidR="001E47DB">
              <w:t xml:space="preserve"> under any circumstances</w:t>
            </w:r>
          </w:p>
          <w:p w14:paraId="484DBABB" w14:textId="4F35A550" w:rsidR="00B62CFC" w:rsidRPr="001E47DB" w:rsidRDefault="00B62CFC" w:rsidP="225CC2E2">
            <w:pPr>
              <w:jc w:val="both"/>
            </w:pPr>
            <w:r>
              <w:t>Safety glasses provided must be used by the participant and persons in the vicinity.</w:t>
            </w:r>
          </w:p>
        </w:tc>
        <w:tc>
          <w:tcPr>
            <w:tcW w:w="3848" w:type="dxa"/>
          </w:tcPr>
          <w:p w14:paraId="69017FA2" w14:textId="4D5E90A1" w:rsidR="00A95235" w:rsidRPr="00D15185" w:rsidRDefault="00A95235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593063E1" w14:textId="710DD365" w:rsidR="00FD50DB" w:rsidRPr="009B5E16" w:rsidRDefault="009B5E16" w:rsidP="225CC2E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Participant / </w:t>
            </w:r>
            <w:r w:rsidR="00A32096" w:rsidRPr="009B5E16">
              <w:rPr>
                <w:b/>
                <w:bCs/>
              </w:rPr>
              <w:t>Group behaviour</w:t>
            </w:r>
          </w:p>
          <w:p w14:paraId="4A92951B" w14:textId="0FD91F1F" w:rsidR="003A1E59" w:rsidRPr="00D15185" w:rsidRDefault="003A1E59" w:rsidP="225CC2E2">
            <w:pPr>
              <w:rPr>
                <w:rFonts w:eastAsia="Nunito Sans" w:cs="Nunito Sans"/>
                <w:color w:val="000000" w:themeColor="text1"/>
              </w:rPr>
            </w:pPr>
            <w:r>
              <w:t>-Risk of general injury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746F1A20" w14:textId="3493D719" w:rsidR="00A95235" w:rsidRPr="00D15185" w:rsidRDefault="00E207B1" w:rsidP="009001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1A25B674" w14:textId="77777777" w:rsidR="001E47DB" w:rsidRDefault="00A32096" w:rsidP="225CC2E2">
            <w:pPr>
              <w:jc w:val="both"/>
            </w:pPr>
            <w:r>
              <w:t xml:space="preserve">The instructor explains the rules and what is expected of </w:t>
            </w:r>
            <w:r w:rsidR="001E47DB">
              <w:t>participants</w:t>
            </w:r>
          </w:p>
          <w:p w14:paraId="654A3E5A" w14:textId="0F4AE3BE" w:rsidR="007A6E64" w:rsidRPr="001D0159" w:rsidRDefault="00A32096" w:rsidP="001E47DB">
            <w:pPr>
              <w:jc w:val="both"/>
              <w:rPr>
                <w:color w:val="000000" w:themeColor="text1"/>
              </w:rPr>
            </w:pPr>
            <w:r>
              <w:t>The group</w:t>
            </w:r>
            <w:r w:rsidR="001E47DB">
              <w:t xml:space="preserve"> / party</w:t>
            </w:r>
            <w:r>
              <w:t xml:space="preserve"> leader</w:t>
            </w:r>
            <w:r w:rsidR="001E47DB">
              <w:t xml:space="preserve"> and instructors are </w:t>
            </w:r>
            <w:r>
              <w:t xml:space="preserve">responsible for making sure that the group are following the rules 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52D2BED3" w:rsidR="00A95235" w:rsidRPr="00D15185" w:rsidRDefault="00A95235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0440E583" w14:textId="77777777" w:rsidTr="082EDB05">
        <w:tc>
          <w:tcPr>
            <w:tcW w:w="3847" w:type="dxa"/>
          </w:tcPr>
          <w:p w14:paraId="627523BD" w14:textId="77777777" w:rsidR="00A95235" w:rsidRPr="009B5E16" w:rsidRDefault="00A32096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>Rifle being stored loaded</w:t>
            </w:r>
          </w:p>
          <w:p w14:paraId="59A69511" w14:textId="77777777" w:rsidR="003A1E59" w:rsidRDefault="003A1E59" w:rsidP="003A1E59">
            <w:r>
              <w:t>-Risk of eye trauma / blindness</w:t>
            </w:r>
          </w:p>
          <w:p w14:paraId="66B1898F" w14:textId="77777777" w:rsidR="003A1E59" w:rsidRDefault="003A1E59" w:rsidP="003A1E59">
            <w:r>
              <w:t>-Risk of impact injury</w:t>
            </w:r>
          </w:p>
          <w:p w14:paraId="2A4D1618" w14:textId="178B9F90" w:rsidR="003A1E59" w:rsidRPr="00D15185" w:rsidRDefault="003A1E59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1818" w:type="dxa"/>
          </w:tcPr>
          <w:p w14:paraId="6A555894" w14:textId="7F1704BA" w:rsidR="00A95235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 w:rsidRPr="00E207B1">
              <w:rPr>
                <w:color w:val="000000" w:themeColor="text1"/>
              </w:rPr>
              <w:t>Participants / Instructor in Range</w:t>
            </w:r>
          </w:p>
        </w:tc>
        <w:tc>
          <w:tcPr>
            <w:tcW w:w="5877" w:type="dxa"/>
          </w:tcPr>
          <w:p w14:paraId="0FC735AF" w14:textId="3E694BB9" w:rsidR="001E47DB" w:rsidRDefault="00A32096" w:rsidP="225CC2E2">
            <w:pPr>
              <w:jc w:val="both"/>
            </w:pPr>
            <w:r>
              <w:t xml:space="preserve">The instructor checks at the end of the session that the rifle barrels are clear </w:t>
            </w:r>
          </w:p>
          <w:p w14:paraId="67341901" w14:textId="1580F86D" w:rsidR="00C321E0" w:rsidRPr="001D0159" w:rsidRDefault="00A32096" w:rsidP="225CC2E2">
            <w:pPr>
              <w:jc w:val="both"/>
              <w:rPr>
                <w:rFonts w:eastAsia="Nunito Sans" w:cs="Nunito Sans"/>
                <w:b/>
                <w:bCs/>
                <w:color w:val="000000" w:themeColor="text1"/>
              </w:rPr>
            </w:pPr>
            <w:r>
              <w:t>If the instructor finds the rifle is loaded, they must take it to the range and discharge it in an appropriate manner</w:t>
            </w:r>
          </w:p>
        </w:tc>
        <w:tc>
          <w:tcPr>
            <w:tcW w:w="3848" w:type="dxa"/>
          </w:tcPr>
          <w:p w14:paraId="54B02323" w14:textId="11394630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32096" w:rsidRPr="00D15185" w14:paraId="12CCB767" w14:textId="77777777" w:rsidTr="082EDB05">
        <w:tc>
          <w:tcPr>
            <w:tcW w:w="3847" w:type="dxa"/>
          </w:tcPr>
          <w:p w14:paraId="7D3B934B" w14:textId="77777777" w:rsidR="00A32096" w:rsidRPr="009B5E16" w:rsidRDefault="00A32096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>Loading the rifle (danger of loading whilst pointing at another person)</w:t>
            </w:r>
          </w:p>
          <w:p w14:paraId="352F8658" w14:textId="77777777" w:rsidR="003A1E59" w:rsidRDefault="003A1E59" w:rsidP="003A1E59">
            <w:r>
              <w:t>-Risk of eye trauma / blindness</w:t>
            </w:r>
          </w:p>
          <w:p w14:paraId="7B41B089" w14:textId="77777777" w:rsidR="003A1E59" w:rsidRDefault="003A1E59" w:rsidP="003A1E59">
            <w:r>
              <w:t>-Risk of impact injury</w:t>
            </w:r>
          </w:p>
          <w:p w14:paraId="598DBC66" w14:textId="43F731BA" w:rsidR="003A1E59" w:rsidRDefault="003A1E59" w:rsidP="225CC2E2"/>
        </w:tc>
        <w:tc>
          <w:tcPr>
            <w:tcW w:w="1818" w:type="dxa"/>
          </w:tcPr>
          <w:p w14:paraId="2D817258" w14:textId="59F7C12E" w:rsidR="00A32096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</w:t>
            </w:r>
          </w:p>
        </w:tc>
        <w:tc>
          <w:tcPr>
            <w:tcW w:w="5877" w:type="dxa"/>
          </w:tcPr>
          <w:p w14:paraId="182A69B2" w14:textId="77777777" w:rsidR="001E47DB" w:rsidRDefault="00A32096" w:rsidP="225CC2E2">
            <w:pPr>
              <w:jc w:val="both"/>
            </w:pPr>
            <w:r>
              <w:t xml:space="preserve">Instructor to give clear demonstration and instructions on the safe way in which to load the rifle </w:t>
            </w:r>
          </w:p>
          <w:p w14:paraId="319EE39B" w14:textId="569473C6" w:rsidR="00A32096" w:rsidRDefault="00A32096" w:rsidP="225CC2E2">
            <w:pPr>
              <w:jc w:val="both"/>
            </w:pPr>
            <w:r>
              <w:t>Instructor to supervise whilst participants are loading their rifles</w:t>
            </w:r>
          </w:p>
          <w:p w14:paraId="368426E3" w14:textId="77777777" w:rsidR="001E47DB" w:rsidRDefault="00A32096" w:rsidP="225CC2E2">
            <w:pPr>
              <w:jc w:val="both"/>
            </w:pPr>
            <w:r>
              <w:t xml:space="preserve">Participants told not to put their finger near the trigger when loading the rifle </w:t>
            </w:r>
          </w:p>
          <w:p w14:paraId="5A0C52EA" w14:textId="2A025503" w:rsidR="00A32096" w:rsidRDefault="00A32096" w:rsidP="225CC2E2">
            <w:pPr>
              <w:jc w:val="both"/>
            </w:pPr>
            <w:r>
              <w:t>Number of people at the firing points controlled by the instructor</w:t>
            </w:r>
          </w:p>
        </w:tc>
        <w:tc>
          <w:tcPr>
            <w:tcW w:w="3848" w:type="dxa"/>
          </w:tcPr>
          <w:p w14:paraId="25D5B6A6" w14:textId="77777777" w:rsidR="00A32096" w:rsidRPr="00D15185" w:rsidRDefault="00A32096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6EECDAC9" w14:textId="77777777" w:rsidTr="082EDB05">
        <w:tc>
          <w:tcPr>
            <w:tcW w:w="3847" w:type="dxa"/>
          </w:tcPr>
          <w:p w14:paraId="498A0A21" w14:textId="5141E45F" w:rsidR="003A1E59" w:rsidRPr="009B5E16" w:rsidRDefault="003A1E59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 xml:space="preserve">Participants unfamiliar with </w:t>
            </w:r>
            <w:r w:rsidR="00716402" w:rsidRPr="009B5E16">
              <w:rPr>
                <w:b/>
                <w:bCs/>
              </w:rPr>
              <w:t xml:space="preserve">cocking and loading rifle </w:t>
            </w:r>
          </w:p>
          <w:p w14:paraId="3488AD29" w14:textId="77777777" w:rsidR="003A1E59" w:rsidRDefault="003A1E59" w:rsidP="003A1E59">
            <w:r>
              <w:t xml:space="preserve">-Risk of trapment of fingers &amp; part of hand in breach </w:t>
            </w:r>
          </w:p>
          <w:p w14:paraId="3D00A397" w14:textId="2522F7D2" w:rsidR="003A1E59" w:rsidRPr="003A1E59" w:rsidRDefault="003A1E59" w:rsidP="003A1E59"/>
        </w:tc>
        <w:tc>
          <w:tcPr>
            <w:tcW w:w="1818" w:type="dxa"/>
          </w:tcPr>
          <w:p w14:paraId="5C90BA16" w14:textId="5687F09E" w:rsidR="00A95235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</w:t>
            </w:r>
          </w:p>
        </w:tc>
        <w:tc>
          <w:tcPr>
            <w:tcW w:w="5877" w:type="dxa"/>
          </w:tcPr>
          <w:p w14:paraId="263C7105" w14:textId="0D93D492" w:rsidR="001E47DB" w:rsidRDefault="00A32096" w:rsidP="225CC2E2">
            <w:pPr>
              <w:jc w:val="both"/>
            </w:pPr>
            <w:r>
              <w:t>Instructor demonstrates where participants are to place their hands when they are loading the rifle</w:t>
            </w:r>
          </w:p>
          <w:p w14:paraId="373FBCDA" w14:textId="371735D7" w:rsidR="009001C4" w:rsidRPr="001D0159" w:rsidRDefault="001E47DB" w:rsidP="225CC2E2">
            <w:pPr>
              <w:jc w:val="both"/>
              <w:rPr>
                <w:rFonts w:eastAsia="Nunito Sans" w:cs="Nunito Sans"/>
                <w:b/>
                <w:bCs/>
                <w:color w:val="000000" w:themeColor="text1"/>
              </w:rPr>
            </w:pPr>
            <w:r>
              <w:t>I</w:t>
            </w:r>
            <w:r w:rsidR="00A32096">
              <w:t>nstructor to supervise to make sure that participants are following the instructions</w:t>
            </w:r>
          </w:p>
        </w:tc>
        <w:tc>
          <w:tcPr>
            <w:tcW w:w="3848" w:type="dxa"/>
          </w:tcPr>
          <w:p w14:paraId="233CCF63" w14:textId="3C99648D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716402" w:rsidRPr="00D15185" w14:paraId="0636DCCF" w14:textId="77777777" w:rsidTr="082EDB05">
        <w:tc>
          <w:tcPr>
            <w:tcW w:w="3847" w:type="dxa"/>
          </w:tcPr>
          <w:p w14:paraId="3190C77D" w14:textId="77777777" w:rsidR="00716402" w:rsidRPr="009B5E16" w:rsidRDefault="00716402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 xml:space="preserve">Air rifles discharged other than down the range or when people not behind the firing line. </w:t>
            </w:r>
          </w:p>
          <w:p w14:paraId="747DE4EC" w14:textId="77777777" w:rsidR="009B5E16" w:rsidRDefault="009B5E16" w:rsidP="009B5E16">
            <w:r>
              <w:t>-Risk of eye trauma / blindness</w:t>
            </w:r>
          </w:p>
          <w:p w14:paraId="1CC41C0F" w14:textId="77777777" w:rsidR="009B5E16" w:rsidRDefault="009B5E16" w:rsidP="009B5E16">
            <w:r>
              <w:t>-Risk of impact injury</w:t>
            </w:r>
          </w:p>
          <w:p w14:paraId="7DE24DF7" w14:textId="6775E9A2" w:rsidR="009B5E16" w:rsidRDefault="009B5E16" w:rsidP="225CC2E2"/>
        </w:tc>
        <w:tc>
          <w:tcPr>
            <w:tcW w:w="1818" w:type="dxa"/>
          </w:tcPr>
          <w:p w14:paraId="6DD604A6" w14:textId="3826B105" w:rsidR="00716402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 w:rsidRPr="00E207B1">
              <w:rPr>
                <w:color w:val="000000" w:themeColor="text1"/>
              </w:rPr>
              <w:t>Participants / Instructor in Range</w:t>
            </w:r>
          </w:p>
        </w:tc>
        <w:tc>
          <w:tcPr>
            <w:tcW w:w="5877" w:type="dxa"/>
          </w:tcPr>
          <w:p w14:paraId="1254A515" w14:textId="5CE3C155" w:rsidR="001E47DB" w:rsidRDefault="001E47DB" w:rsidP="001E47DB">
            <w:pPr>
              <w:jc w:val="both"/>
            </w:pPr>
            <w:r>
              <w:t>Instructor to give clear demonstration and instructions on the safe way in which to load the rifle.</w:t>
            </w:r>
          </w:p>
          <w:p w14:paraId="57CA34AE" w14:textId="77777777" w:rsidR="001E47DB" w:rsidRDefault="001E47DB" w:rsidP="001E47DB">
            <w:pPr>
              <w:jc w:val="both"/>
            </w:pPr>
            <w:r>
              <w:t>All participants to be given safety briefing prior to the commencement of the activity in the waiting / viewing room, where the rules explained to them at the beginning of the session</w:t>
            </w:r>
          </w:p>
          <w:p w14:paraId="467D4153" w14:textId="396A6741" w:rsidR="00716402" w:rsidRDefault="001E47DB" w:rsidP="225CC2E2">
            <w:pPr>
              <w:jc w:val="both"/>
            </w:pPr>
            <w:r>
              <w:t xml:space="preserve">Anyone found to be discharging their rifle in a manner </w:t>
            </w:r>
            <w:r w:rsidR="00A47406">
              <w:t>not in keeping with the instruction given will be removed from the activity</w:t>
            </w:r>
          </w:p>
        </w:tc>
        <w:tc>
          <w:tcPr>
            <w:tcW w:w="3848" w:type="dxa"/>
          </w:tcPr>
          <w:p w14:paraId="4E3FF215" w14:textId="77777777" w:rsidR="00716402" w:rsidRPr="00D15185" w:rsidRDefault="00716402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32096" w:rsidRPr="00D15185" w14:paraId="152ADC79" w14:textId="77777777" w:rsidTr="082EDB05">
        <w:tc>
          <w:tcPr>
            <w:tcW w:w="3847" w:type="dxa"/>
          </w:tcPr>
          <w:p w14:paraId="3E08D0DB" w14:textId="72EA6CB9" w:rsidR="00A32096" w:rsidRPr="009B5E16" w:rsidRDefault="00A32096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lastRenderedPageBreak/>
              <w:t>Impact from pellet</w:t>
            </w:r>
            <w:r w:rsidR="009B5E16">
              <w:rPr>
                <w:b/>
                <w:bCs/>
              </w:rPr>
              <w:t xml:space="preserve"> (or particles of pellet during firing)</w:t>
            </w:r>
          </w:p>
          <w:p w14:paraId="00C9FDFE" w14:textId="33DC0E38" w:rsidR="003A1E59" w:rsidRDefault="003A1E59" w:rsidP="225CC2E2">
            <w:r>
              <w:t>-Risk of eye trauma / blindness</w:t>
            </w:r>
          </w:p>
          <w:p w14:paraId="640D40AC" w14:textId="035DEDC0" w:rsidR="003A1E59" w:rsidRDefault="003A1E59" w:rsidP="225CC2E2">
            <w:r>
              <w:t>-Risk of impact injury</w:t>
            </w:r>
          </w:p>
        </w:tc>
        <w:tc>
          <w:tcPr>
            <w:tcW w:w="1818" w:type="dxa"/>
          </w:tcPr>
          <w:p w14:paraId="6B76E4E5" w14:textId="3F61DB91" w:rsidR="00A32096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 w:rsidRPr="00E207B1">
              <w:rPr>
                <w:color w:val="000000" w:themeColor="text1"/>
              </w:rPr>
              <w:t>Participants / Instructor in Range</w:t>
            </w:r>
          </w:p>
        </w:tc>
        <w:tc>
          <w:tcPr>
            <w:tcW w:w="5877" w:type="dxa"/>
          </w:tcPr>
          <w:p w14:paraId="68D17FE2" w14:textId="77777777" w:rsidR="00CC4B2A" w:rsidRDefault="00A32096" w:rsidP="225CC2E2">
            <w:pPr>
              <w:jc w:val="both"/>
            </w:pPr>
            <w:r w:rsidRPr="003A1E59">
              <w:t>All participants are</w:t>
            </w:r>
            <w:r w:rsidR="003A1E59" w:rsidRPr="003A1E59">
              <w:t xml:space="preserve"> to be</w:t>
            </w:r>
            <w:r w:rsidRPr="003A1E59">
              <w:t xml:space="preserve"> provided with protective </w:t>
            </w:r>
            <w:r w:rsidR="003A1E59" w:rsidRPr="003A1E59">
              <w:t xml:space="preserve">glasses for use during shooting activity.  </w:t>
            </w:r>
          </w:p>
          <w:p w14:paraId="15A410A3" w14:textId="15FF4762" w:rsidR="002B6B86" w:rsidRPr="003A1E59" w:rsidRDefault="003A1E59" w:rsidP="225CC2E2">
            <w:pPr>
              <w:jc w:val="both"/>
            </w:pPr>
            <w:r w:rsidRPr="003A1E59">
              <w:t xml:space="preserve">For participants who wear glasses, </w:t>
            </w:r>
            <w:r w:rsidR="00CC4B2A">
              <w:t xml:space="preserve">personal </w:t>
            </w:r>
            <w:r w:rsidRPr="003A1E59">
              <w:t>safety glasses</w:t>
            </w:r>
            <w:r w:rsidR="00CC4B2A">
              <w:t xml:space="preserve"> or over glasses</w:t>
            </w:r>
            <w:r w:rsidRPr="003A1E59">
              <w:t xml:space="preserve"> </w:t>
            </w:r>
            <w:r w:rsidR="00CC4B2A">
              <w:t>are required for individuals to use the range</w:t>
            </w:r>
            <w:r w:rsidRPr="003A1E59">
              <w:t>.</w:t>
            </w:r>
          </w:p>
          <w:p w14:paraId="395DD4A6" w14:textId="7657996F" w:rsidR="00CC4B2A" w:rsidRDefault="00A32096" w:rsidP="225CC2E2">
            <w:pPr>
              <w:jc w:val="both"/>
            </w:pPr>
            <w:r>
              <w:t>The instructor gives clear and simple instructions on the rules of the range</w:t>
            </w:r>
            <w:r w:rsidR="00CC4B2A">
              <w:t>.</w:t>
            </w:r>
          </w:p>
          <w:p w14:paraId="19A637D4" w14:textId="126BBC57" w:rsidR="00CC4B2A" w:rsidRDefault="00CC4B2A" w:rsidP="225CC2E2">
            <w:pPr>
              <w:jc w:val="both"/>
            </w:pPr>
            <w:r>
              <w:t>At all times</w:t>
            </w:r>
            <w:r w:rsidR="00670D10">
              <w:t>,</w:t>
            </w:r>
            <w:r>
              <w:t xml:space="preserve"> a Maximum of Two Leaders / supervisory adults</w:t>
            </w:r>
            <w:r w:rsidR="00670D10">
              <w:t xml:space="preserve">, one of which shall be the permit holder / qualified instructor </w:t>
            </w:r>
            <w:r>
              <w:t xml:space="preserve">are required in the range itself and an additional Leader / </w:t>
            </w:r>
            <w:r w:rsidR="00670D10">
              <w:t>supervisory adult in the waiting area.</w:t>
            </w:r>
          </w:p>
          <w:p w14:paraId="1BB69CA0" w14:textId="6589F05D" w:rsidR="002B6B86" w:rsidRDefault="00A32096" w:rsidP="225CC2E2">
            <w:pPr>
              <w:jc w:val="both"/>
            </w:pPr>
            <w:r>
              <w:t>At all times participants are supervised by a qualified instructor The instructor checks that everyone has understood the rules before co</w:t>
            </w:r>
            <w:r w:rsidR="002B6B86">
              <w:t>mmencing the activity</w:t>
            </w:r>
          </w:p>
          <w:p w14:paraId="20E61631" w14:textId="606FA750" w:rsidR="002B6B86" w:rsidRDefault="00A32096" w:rsidP="225CC2E2">
            <w:pPr>
              <w:jc w:val="both"/>
            </w:pPr>
            <w:r>
              <w:t>Access to the range is controlled by the instructor</w:t>
            </w:r>
            <w:r w:rsidR="001D302B">
              <w:t>, with the waiting area door closed during shooting.</w:t>
            </w:r>
          </w:p>
          <w:p w14:paraId="25603E8F" w14:textId="77777777" w:rsidR="002B6B86" w:rsidRDefault="00A32096" w:rsidP="225CC2E2">
            <w:pPr>
              <w:jc w:val="both"/>
            </w:pPr>
            <w:r>
              <w:t>Access to pellets is controlled by the instructor</w:t>
            </w:r>
          </w:p>
          <w:p w14:paraId="7DD3B1EE" w14:textId="27E9B210" w:rsidR="002B6B86" w:rsidRDefault="002B6B86" w:rsidP="225CC2E2">
            <w:pPr>
              <w:jc w:val="both"/>
            </w:pPr>
            <w:r>
              <w:t>Non participants to remain in the waiting area with only 4 participants at any time allowed to ensure the range room.</w:t>
            </w:r>
          </w:p>
          <w:p w14:paraId="56A7D51B" w14:textId="74FCD510" w:rsidR="00A32096" w:rsidRDefault="00A32096" w:rsidP="225CC2E2">
            <w:pPr>
              <w:jc w:val="both"/>
            </w:pPr>
            <w:r>
              <w:t>When the participants change the targets over</w:t>
            </w:r>
            <w:r w:rsidR="002B6B86">
              <w:t>,</w:t>
            </w:r>
            <w:r>
              <w:t xml:space="preserve"> the instructor will first check that the rifles are clear and no pellets are loaded When changing the </w:t>
            </w:r>
            <w:r w:rsidR="002B6B86">
              <w:t>targets,</w:t>
            </w:r>
            <w:r>
              <w:t xml:space="preserve"> the instructor stays with the rifles on the shooting line</w:t>
            </w:r>
          </w:p>
          <w:p w14:paraId="51F702BB" w14:textId="4159BDA7" w:rsidR="002B6B86" w:rsidRDefault="00A32096" w:rsidP="225CC2E2">
            <w:pPr>
              <w:jc w:val="both"/>
            </w:pPr>
            <w:r>
              <w:t xml:space="preserve">Participants are </w:t>
            </w:r>
            <w:r w:rsidR="002B6B86">
              <w:t>not</w:t>
            </w:r>
            <w:r>
              <w:t xml:space="preserve"> allowed to be at the shooting stations when there are people down the range </w:t>
            </w:r>
          </w:p>
          <w:p w14:paraId="72921026" w14:textId="77777777" w:rsidR="002B6B86" w:rsidRDefault="00A32096" w:rsidP="225CC2E2">
            <w:pPr>
              <w:jc w:val="both"/>
            </w:pPr>
            <w:r>
              <w:t xml:space="preserve">Rifles must be pointing in a safe direction at all times </w:t>
            </w:r>
          </w:p>
          <w:p w14:paraId="5E66AF0E" w14:textId="49731A6D" w:rsidR="002B6B86" w:rsidRDefault="00A32096" w:rsidP="225CC2E2">
            <w:pPr>
              <w:jc w:val="both"/>
            </w:pPr>
            <w:r>
              <w:t xml:space="preserve">No one is to turn around when they are holding a rifle Participants in the waiting area are asked to remain quiet and not distract the people shooting </w:t>
            </w:r>
          </w:p>
          <w:p w14:paraId="4B380852" w14:textId="4B60DF63" w:rsidR="00A32096" w:rsidRDefault="00A32096" w:rsidP="225CC2E2">
            <w:pPr>
              <w:jc w:val="both"/>
            </w:pPr>
            <w:r>
              <w:t>Rifles must be left in the broken position when people are down range</w:t>
            </w:r>
          </w:p>
        </w:tc>
        <w:tc>
          <w:tcPr>
            <w:tcW w:w="3848" w:type="dxa"/>
          </w:tcPr>
          <w:p w14:paraId="3FA4179E" w14:textId="77777777" w:rsidR="00A32096" w:rsidRPr="00D15185" w:rsidRDefault="00A32096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32096" w:rsidRPr="00D15185" w14:paraId="4E903568" w14:textId="77777777" w:rsidTr="082EDB05">
        <w:tc>
          <w:tcPr>
            <w:tcW w:w="3847" w:type="dxa"/>
          </w:tcPr>
          <w:p w14:paraId="6E800A1B" w14:textId="77777777" w:rsidR="00A32096" w:rsidRPr="009B5E16" w:rsidRDefault="00A32096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lastRenderedPageBreak/>
              <w:t>Over shoots and side shots</w:t>
            </w:r>
          </w:p>
          <w:p w14:paraId="66C9D6C0" w14:textId="77777777" w:rsidR="009B5E16" w:rsidRDefault="009B5E16" w:rsidP="009B5E16">
            <w:r>
              <w:t>-Risk of eye trauma / blindness</w:t>
            </w:r>
          </w:p>
          <w:p w14:paraId="68406860" w14:textId="77777777" w:rsidR="009B5E16" w:rsidRDefault="009B5E16" w:rsidP="009B5E16">
            <w:r>
              <w:t>-Risk of impact injury</w:t>
            </w:r>
          </w:p>
          <w:p w14:paraId="7ECFC51B" w14:textId="2A753BB3" w:rsidR="009B5E16" w:rsidRDefault="009B5E16" w:rsidP="225CC2E2"/>
        </w:tc>
        <w:tc>
          <w:tcPr>
            <w:tcW w:w="1818" w:type="dxa"/>
          </w:tcPr>
          <w:p w14:paraId="03C993B9" w14:textId="28311FD8" w:rsidR="00A32096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 w:rsidRPr="00E207B1">
              <w:rPr>
                <w:color w:val="000000" w:themeColor="text1"/>
              </w:rPr>
              <w:t>Participants / Instructor in Range</w:t>
            </w:r>
          </w:p>
        </w:tc>
        <w:tc>
          <w:tcPr>
            <w:tcW w:w="5877" w:type="dxa"/>
          </w:tcPr>
          <w:p w14:paraId="057AA427" w14:textId="76BD7120" w:rsidR="002B6B86" w:rsidRDefault="00A32096" w:rsidP="225CC2E2">
            <w:pPr>
              <w:jc w:val="both"/>
            </w:pPr>
            <w:r>
              <w:t>Participants given clear instruction on the direction of shooting</w:t>
            </w:r>
            <w:r w:rsidR="002B6B86">
              <w:t>.</w:t>
            </w:r>
            <w:r>
              <w:t xml:space="preserve">  Hanging catch nets fixed in place to prevent pellets from going out of the range boundaries</w:t>
            </w:r>
          </w:p>
          <w:p w14:paraId="0FCEE6B7" w14:textId="5B5C15CE" w:rsidR="002B6B86" w:rsidRDefault="00A32096" w:rsidP="225CC2E2">
            <w:pPr>
              <w:jc w:val="both"/>
            </w:pPr>
            <w:r>
              <w:t>Physical stop</w:t>
            </w:r>
            <w:r w:rsidR="002B6B86">
              <w:t>s</w:t>
            </w:r>
            <w:r>
              <w:t xml:space="preserve"> behind targets to stop stray pellets</w:t>
            </w:r>
          </w:p>
          <w:p w14:paraId="371FD1C0" w14:textId="77777777" w:rsidR="00A32096" w:rsidRDefault="00A32096" w:rsidP="225CC2E2">
            <w:pPr>
              <w:jc w:val="both"/>
            </w:pPr>
            <w:r>
              <w:t>No access to the sides or the rear of the range</w:t>
            </w:r>
          </w:p>
          <w:p w14:paraId="6734DDDF" w14:textId="5ABE91E8" w:rsidR="00B62CFC" w:rsidRDefault="00B62CFC" w:rsidP="225CC2E2">
            <w:pPr>
              <w:jc w:val="both"/>
            </w:pPr>
            <w:r>
              <w:t>Safety glasses provided must be used by the participant and persons in the vicinity.</w:t>
            </w:r>
          </w:p>
        </w:tc>
        <w:tc>
          <w:tcPr>
            <w:tcW w:w="3848" w:type="dxa"/>
          </w:tcPr>
          <w:p w14:paraId="7230A0A8" w14:textId="77777777" w:rsidR="00A32096" w:rsidRPr="00D15185" w:rsidRDefault="00A32096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32096" w:rsidRPr="00D15185" w14:paraId="3DF9D5E3" w14:textId="77777777" w:rsidTr="082EDB05">
        <w:tc>
          <w:tcPr>
            <w:tcW w:w="3847" w:type="dxa"/>
          </w:tcPr>
          <w:p w14:paraId="03BB13B1" w14:textId="77777777" w:rsidR="00A32096" w:rsidRPr="009B5E16" w:rsidRDefault="006D68D3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>Uncontrolled spectators in range</w:t>
            </w:r>
          </w:p>
          <w:p w14:paraId="52D52053" w14:textId="77777777" w:rsidR="009B5E16" w:rsidRDefault="009B5E16" w:rsidP="009B5E16">
            <w:r>
              <w:t>-Risk of eye trauma / blindness</w:t>
            </w:r>
          </w:p>
          <w:p w14:paraId="5545F23C" w14:textId="77777777" w:rsidR="009B5E16" w:rsidRDefault="009B5E16" w:rsidP="009B5E16">
            <w:r>
              <w:t>-Risk of impact injury</w:t>
            </w:r>
          </w:p>
          <w:p w14:paraId="4CC45F82" w14:textId="09F128E8" w:rsidR="009B5E16" w:rsidRDefault="009B5E16" w:rsidP="225CC2E2"/>
        </w:tc>
        <w:tc>
          <w:tcPr>
            <w:tcW w:w="1818" w:type="dxa"/>
          </w:tcPr>
          <w:p w14:paraId="2490E1A9" w14:textId="7CB4A670" w:rsidR="00A32096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</w:t>
            </w:r>
          </w:p>
        </w:tc>
        <w:tc>
          <w:tcPr>
            <w:tcW w:w="5877" w:type="dxa"/>
          </w:tcPr>
          <w:p w14:paraId="652DC54B" w14:textId="719E3F5A" w:rsidR="00A32096" w:rsidRDefault="002B6B86" w:rsidP="225CC2E2">
            <w:pPr>
              <w:jc w:val="both"/>
            </w:pPr>
            <w:r>
              <w:t>No</w:t>
            </w:r>
            <w:r w:rsidR="006D68D3">
              <w:t xml:space="preserve"> spectators are to be allowed on the range during shooting</w:t>
            </w:r>
            <w:r>
              <w:t>.  Viewing from the waiting area is permitted</w:t>
            </w:r>
            <w:r w:rsidR="00E207B1">
              <w:t>.</w:t>
            </w:r>
          </w:p>
        </w:tc>
        <w:tc>
          <w:tcPr>
            <w:tcW w:w="3848" w:type="dxa"/>
          </w:tcPr>
          <w:p w14:paraId="27F6B13A" w14:textId="77777777" w:rsidR="00A32096" w:rsidRPr="00D15185" w:rsidRDefault="00A32096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32096" w:rsidRPr="00D15185" w14:paraId="5DA7C991" w14:textId="77777777" w:rsidTr="082EDB05">
        <w:tc>
          <w:tcPr>
            <w:tcW w:w="3847" w:type="dxa"/>
          </w:tcPr>
          <w:p w14:paraId="543D4B47" w14:textId="77777777" w:rsidR="00A32096" w:rsidRPr="009B5E16" w:rsidRDefault="006D68D3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>Equipment failure – Injured by equipment.</w:t>
            </w:r>
          </w:p>
          <w:p w14:paraId="4E7DB3F1" w14:textId="77777777" w:rsidR="009B5E16" w:rsidRDefault="009B5E16" w:rsidP="009B5E16">
            <w:r>
              <w:t>-Risk of misfire</w:t>
            </w:r>
          </w:p>
          <w:p w14:paraId="39C746C1" w14:textId="77777777" w:rsidR="009B5E16" w:rsidRDefault="009B5E16" w:rsidP="009B5E16">
            <w:r>
              <w:t>-Risk of eye trauma / blindness</w:t>
            </w:r>
          </w:p>
          <w:p w14:paraId="2CF2233F" w14:textId="77777777" w:rsidR="009B5E16" w:rsidRDefault="009B5E16" w:rsidP="009B5E16">
            <w:r>
              <w:t>-Risk of impact injury</w:t>
            </w:r>
          </w:p>
          <w:p w14:paraId="36EC6D89" w14:textId="776AB8B7" w:rsidR="009B5E16" w:rsidRDefault="009B5E16" w:rsidP="225CC2E2"/>
        </w:tc>
        <w:tc>
          <w:tcPr>
            <w:tcW w:w="1818" w:type="dxa"/>
          </w:tcPr>
          <w:p w14:paraId="2732FDE8" w14:textId="39621CCF" w:rsidR="00A32096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 w:rsidRPr="00E207B1">
              <w:rPr>
                <w:color w:val="000000" w:themeColor="text1"/>
              </w:rPr>
              <w:t>Participants / Instructor in Range</w:t>
            </w:r>
          </w:p>
        </w:tc>
        <w:tc>
          <w:tcPr>
            <w:tcW w:w="5877" w:type="dxa"/>
          </w:tcPr>
          <w:p w14:paraId="18EA400D" w14:textId="79FEE0FC" w:rsidR="00E207B1" w:rsidRDefault="00E207B1" w:rsidP="225CC2E2">
            <w:pPr>
              <w:jc w:val="both"/>
            </w:pPr>
            <w:r>
              <w:t>E</w:t>
            </w:r>
            <w:r w:rsidR="006D68D3">
              <w:t xml:space="preserve">quipment checked at </w:t>
            </w:r>
            <w:r w:rsidR="00E71EBF">
              <w:t>prior to each use</w:t>
            </w:r>
            <w:r w:rsidR="006D68D3">
              <w:t xml:space="preserve"> and recorded by a competent person</w:t>
            </w:r>
            <w:r w:rsidR="00E71EBF">
              <w:t>, and recorded on the Air Rifle Inspect</w:t>
            </w:r>
            <w:r w:rsidR="00D436FE">
              <w:t>ion</w:t>
            </w:r>
            <w:r w:rsidR="00E71EBF">
              <w:t xml:space="preserve"> sheet which is situated in the Gun Cabinet</w:t>
            </w:r>
          </w:p>
          <w:p w14:paraId="71145898" w14:textId="2847D06A" w:rsidR="00E207B1" w:rsidRDefault="006D68D3" w:rsidP="00E71EBF">
            <w:pPr>
              <w:jc w:val="both"/>
            </w:pPr>
            <w:r>
              <w:t>All equipment is serviced annually</w:t>
            </w:r>
            <w:r w:rsidR="00D436FE">
              <w:t xml:space="preserve"> &amp;</w:t>
            </w:r>
            <w:r>
              <w:t xml:space="preserve"> checked prior to every use</w:t>
            </w:r>
            <w:r w:rsidR="00E207B1">
              <w:t>, removing from use any rifle deemed unsafe.</w:t>
            </w:r>
          </w:p>
          <w:p w14:paraId="4C316F0C" w14:textId="0B19A1D2" w:rsidR="00E207B1" w:rsidRDefault="006D68D3" w:rsidP="00E207B1">
            <w:pPr>
              <w:jc w:val="both"/>
            </w:pPr>
            <w:r>
              <w:t xml:space="preserve">All damage reported to </w:t>
            </w:r>
            <w:r w:rsidR="00E207B1">
              <w:t>a member of Boyd Site Team</w:t>
            </w:r>
            <w:r w:rsidR="00E71EBF">
              <w:t xml:space="preserve"> using the Air R</w:t>
            </w:r>
            <w:r w:rsidR="00D436FE">
              <w:t>ifle</w:t>
            </w:r>
            <w:r w:rsidR="00E71EBF">
              <w:t xml:space="preserve"> Damage Reporting Form, which is situated in the Gun Cabinet.</w:t>
            </w:r>
          </w:p>
          <w:p w14:paraId="6A437EA7" w14:textId="6B143640" w:rsidR="00E207B1" w:rsidRDefault="00E207B1" w:rsidP="00E207B1">
            <w:pPr>
              <w:jc w:val="both"/>
            </w:pPr>
            <w:r>
              <w:t xml:space="preserve">Clean rifles on a regular basis and lightly oil working parts for storage. </w:t>
            </w:r>
          </w:p>
        </w:tc>
        <w:tc>
          <w:tcPr>
            <w:tcW w:w="3848" w:type="dxa"/>
          </w:tcPr>
          <w:p w14:paraId="3A5EB08C" w14:textId="77777777" w:rsidR="00A32096" w:rsidRPr="00D15185" w:rsidRDefault="00A32096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3974AD" w:rsidRPr="00D15185" w14:paraId="0F61E088" w14:textId="77777777" w:rsidTr="082EDB05">
        <w:tc>
          <w:tcPr>
            <w:tcW w:w="3847" w:type="dxa"/>
          </w:tcPr>
          <w:p w14:paraId="1F049FD0" w14:textId="5CDC9B9D" w:rsidR="003974AD" w:rsidRDefault="003974AD" w:rsidP="225CC2E2">
            <w:pPr>
              <w:rPr>
                <w:b/>
                <w:bCs/>
              </w:rPr>
            </w:pPr>
            <w:r>
              <w:rPr>
                <w:b/>
                <w:bCs/>
              </w:rPr>
              <w:t>Equipment failure – Injury through uncontrolled equipment</w:t>
            </w:r>
          </w:p>
          <w:p w14:paraId="49D41B59" w14:textId="77777777" w:rsidR="003974AD" w:rsidRDefault="003974AD" w:rsidP="003974AD">
            <w:r>
              <w:t>-Risk of misfire</w:t>
            </w:r>
          </w:p>
          <w:p w14:paraId="692A0E3B" w14:textId="77777777" w:rsidR="003974AD" w:rsidRDefault="003974AD" w:rsidP="003974AD">
            <w:r>
              <w:t>-Risk of eye trauma / blindness</w:t>
            </w:r>
          </w:p>
          <w:p w14:paraId="0D70D2AA" w14:textId="77777777" w:rsidR="003974AD" w:rsidRDefault="003974AD" w:rsidP="003974AD">
            <w:r>
              <w:t>-Risk of impact injury</w:t>
            </w:r>
          </w:p>
          <w:p w14:paraId="164AACCE" w14:textId="77777777" w:rsidR="003974AD" w:rsidRDefault="003974AD" w:rsidP="225CC2E2">
            <w:pPr>
              <w:rPr>
                <w:b/>
                <w:bCs/>
              </w:rPr>
            </w:pPr>
          </w:p>
          <w:p w14:paraId="1FEC48B7" w14:textId="23EEE645" w:rsidR="003974AD" w:rsidRPr="009B5E16" w:rsidRDefault="003974AD" w:rsidP="225CC2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18" w:type="dxa"/>
          </w:tcPr>
          <w:p w14:paraId="46AE6182" w14:textId="2B889038" w:rsidR="003974AD" w:rsidRPr="00E207B1" w:rsidRDefault="003974AD" w:rsidP="009001C4">
            <w:pPr>
              <w:rPr>
                <w:color w:val="000000" w:themeColor="text1"/>
              </w:rPr>
            </w:pPr>
            <w:r w:rsidRPr="00E207B1">
              <w:rPr>
                <w:color w:val="000000" w:themeColor="text1"/>
              </w:rPr>
              <w:t>Participants / Instructor in Range</w:t>
            </w:r>
          </w:p>
        </w:tc>
        <w:tc>
          <w:tcPr>
            <w:tcW w:w="5877" w:type="dxa"/>
          </w:tcPr>
          <w:p w14:paraId="3C1DC4BE" w14:textId="66132AA1" w:rsidR="003974AD" w:rsidRDefault="003974AD" w:rsidP="225CC2E2">
            <w:pPr>
              <w:jc w:val="both"/>
            </w:pPr>
            <w:r>
              <w:t>Only Boyd Air Rif</w:t>
            </w:r>
            <w:r w:rsidR="00D436FE">
              <w:t>l</w:t>
            </w:r>
            <w:r>
              <w:t xml:space="preserve">e Equipment can be used on the range. </w:t>
            </w:r>
          </w:p>
          <w:p w14:paraId="2ADF8794" w14:textId="22B2DE50" w:rsidR="003974AD" w:rsidRDefault="003974AD" w:rsidP="225CC2E2">
            <w:pPr>
              <w:jc w:val="both"/>
            </w:pPr>
            <w:r>
              <w:t xml:space="preserve">No personal air rifles or air pistols are permitted to be </w:t>
            </w:r>
            <w:r w:rsidR="00D436FE">
              <w:t>us</w:t>
            </w:r>
            <w:r>
              <w:t>ed on the range.</w:t>
            </w:r>
          </w:p>
        </w:tc>
        <w:tc>
          <w:tcPr>
            <w:tcW w:w="3848" w:type="dxa"/>
          </w:tcPr>
          <w:p w14:paraId="5C60F9F4" w14:textId="77777777" w:rsidR="003974AD" w:rsidRPr="00D15185" w:rsidRDefault="003974AD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6D68D3" w:rsidRPr="00D15185" w14:paraId="0543E280" w14:textId="77777777" w:rsidTr="082EDB05">
        <w:tc>
          <w:tcPr>
            <w:tcW w:w="3847" w:type="dxa"/>
          </w:tcPr>
          <w:p w14:paraId="68103DD5" w14:textId="77777777" w:rsidR="006D68D3" w:rsidRPr="009B5E16" w:rsidRDefault="006D68D3" w:rsidP="225CC2E2">
            <w:pPr>
              <w:rPr>
                <w:b/>
                <w:bCs/>
              </w:rPr>
            </w:pPr>
            <w:r w:rsidRPr="009B5E16">
              <w:rPr>
                <w:b/>
                <w:bCs/>
              </w:rPr>
              <w:t>Unauthorised use – Injured by equipment</w:t>
            </w:r>
          </w:p>
          <w:p w14:paraId="52210226" w14:textId="77777777" w:rsidR="009B5E16" w:rsidRDefault="009B5E16" w:rsidP="009B5E16">
            <w:r>
              <w:lastRenderedPageBreak/>
              <w:t>-Risk of misfire</w:t>
            </w:r>
          </w:p>
          <w:p w14:paraId="575C499D" w14:textId="77777777" w:rsidR="009B5E16" w:rsidRDefault="009B5E16" w:rsidP="009B5E16">
            <w:r>
              <w:t xml:space="preserve">-Risk of trapment of fingers &amp; part of hand in breach </w:t>
            </w:r>
          </w:p>
          <w:p w14:paraId="0A80F5C3" w14:textId="77777777" w:rsidR="009B5E16" w:rsidRDefault="009B5E16" w:rsidP="009B5E16">
            <w:r>
              <w:t>-Risk of eye trauma / blindness</w:t>
            </w:r>
          </w:p>
          <w:p w14:paraId="1060F8A2" w14:textId="77777777" w:rsidR="009B5E16" w:rsidRDefault="009B5E16" w:rsidP="009B5E16">
            <w:r>
              <w:t>-Risk of impact injury</w:t>
            </w:r>
          </w:p>
          <w:p w14:paraId="69BFD65A" w14:textId="603EE627" w:rsidR="009B5E16" w:rsidRDefault="009B5E16" w:rsidP="225CC2E2"/>
        </w:tc>
        <w:tc>
          <w:tcPr>
            <w:tcW w:w="1818" w:type="dxa"/>
          </w:tcPr>
          <w:p w14:paraId="7F8F2371" w14:textId="5BC266CB" w:rsidR="006D68D3" w:rsidRPr="00D15185" w:rsidRDefault="00E207B1" w:rsidP="009001C4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 xml:space="preserve">Unauthorised Participants </w:t>
            </w:r>
          </w:p>
        </w:tc>
        <w:tc>
          <w:tcPr>
            <w:tcW w:w="5877" w:type="dxa"/>
          </w:tcPr>
          <w:p w14:paraId="3D18BE16" w14:textId="70498A32" w:rsidR="00E207B1" w:rsidRDefault="006D68D3" w:rsidP="225CC2E2">
            <w:pPr>
              <w:jc w:val="both"/>
            </w:pPr>
            <w:r>
              <w:t>Equipment is kept in a locked store when not in use</w:t>
            </w:r>
            <w:r w:rsidR="00D436FE">
              <w:t>, with both a locked gun cabinet and a locked pellet safe / store in use.</w:t>
            </w:r>
          </w:p>
          <w:p w14:paraId="53715160" w14:textId="77777777" w:rsidR="00E207B1" w:rsidRDefault="006D68D3" w:rsidP="225CC2E2">
            <w:pPr>
              <w:jc w:val="both"/>
            </w:pPr>
            <w:r>
              <w:lastRenderedPageBreak/>
              <w:t xml:space="preserve">Equipment to be returned to the </w:t>
            </w:r>
            <w:r w:rsidR="00E207B1">
              <w:t>Gun Cabinet</w:t>
            </w:r>
            <w:r>
              <w:t xml:space="preserve"> at the end of each session. </w:t>
            </w:r>
          </w:p>
          <w:p w14:paraId="0D81076F" w14:textId="77777777" w:rsidR="006D68D3" w:rsidRDefault="006D68D3" w:rsidP="225CC2E2">
            <w:pPr>
              <w:jc w:val="both"/>
            </w:pPr>
            <w:r>
              <w:t>Rifles and pellets never to be left unattended.</w:t>
            </w:r>
          </w:p>
          <w:p w14:paraId="694D86FA" w14:textId="5BB141AE" w:rsidR="00D436FE" w:rsidRDefault="00D436FE" w:rsidP="225CC2E2">
            <w:pPr>
              <w:jc w:val="both"/>
            </w:pPr>
            <w:r>
              <w:t>Rifles and pellets NOT to be stored in the same location</w:t>
            </w:r>
          </w:p>
          <w:p w14:paraId="314FA3B5" w14:textId="1819A8AD" w:rsidR="00D436FE" w:rsidRDefault="00D436FE" w:rsidP="225CC2E2">
            <w:pPr>
              <w:jc w:val="both"/>
            </w:pPr>
          </w:p>
        </w:tc>
        <w:tc>
          <w:tcPr>
            <w:tcW w:w="3848" w:type="dxa"/>
          </w:tcPr>
          <w:p w14:paraId="574821C2" w14:textId="77777777" w:rsidR="006D68D3" w:rsidRPr="00D15185" w:rsidRDefault="006D68D3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502F902C" w14:textId="77777777" w:rsidTr="082EDB05">
        <w:tc>
          <w:tcPr>
            <w:tcW w:w="3847" w:type="dxa"/>
          </w:tcPr>
          <w:p w14:paraId="5BD44A9E" w14:textId="0D4CF3D6" w:rsidR="00FD50DB" w:rsidRPr="00D15185" w:rsidRDefault="00FD50DB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1818" w:type="dxa"/>
          </w:tcPr>
          <w:p w14:paraId="7A3F7A65" w14:textId="5CB7858B" w:rsidR="00A95235" w:rsidRPr="00D15185" w:rsidRDefault="00A95235" w:rsidP="009001C4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5877" w:type="dxa"/>
          </w:tcPr>
          <w:p w14:paraId="70475D37" w14:textId="281294F5" w:rsidR="009001C4" w:rsidRPr="001D0159" w:rsidRDefault="009001C4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3848" w:type="dxa"/>
          </w:tcPr>
          <w:p w14:paraId="7CCFEFCD" w14:textId="237652A3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14:paraId="0104BC3F" w14:textId="77777777" w:rsidTr="082EDB05">
        <w:tc>
          <w:tcPr>
            <w:tcW w:w="15390" w:type="dxa"/>
            <w:gridSpan w:val="4"/>
          </w:tcPr>
          <w:p w14:paraId="4C0EE2C7" w14:textId="77777777" w:rsidR="00B62CFC" w:rsidRDefault="00A95235" w:rsidP="00A95235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>:</w:t>
            </w:r>
          </w:p>
          <w:p w14:paraId="1FE08C54" w14:textId="107F5973" w:rsidR="00B62CFC" w:rsidRDefault="00B62CFC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12.4.22 – Original Release</w:t>
            </w:r>
          </w:p>
          <w:p w14:paraId="57BFBBC7" w14:textId="77777777" w:rsidR="00A95235" w:rsidRDefault="00B62CFC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14.6.22 – Reviewed to emphasise need to wear safety glasses provided</w:t>
            </w:r>
          </w:p>
          <w:p w14:paraId="2B956656" w14:textId="77777777" w:rsidR="003974AD" w:rsidRDefault="003974AD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17.9.22 – Reviewed and amend following incident</w:t>
            </w:r>
            <w:r w:rsidR="00B35147">
              <w:rPr>
                <w:i/>
                <w:iCs/>
              </w:rPr>
              <w:t xml:space="preserve"> 12.5.22</w:t>
            </w:r>
          </w:p>
          <w:p w14:paraId="78F81841" w14:textId="77777777" w:rsidR="00F23E35" w:rsidRDefault="00F23E35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20.5.24 – Reviewed with no changes required</w:t>
            </w:r>
          </w:p>
          <w:p w14:paraId="34D11C75" w14:textId="77777777" w:rsidR="00D436FE" w:rsidRDefault="00D436FE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25.6.24 – Spelling corrections.  Reference to locked cabinet and new pellet safe / store</w:t>
            </w:r>
          </w:p>
          <w:p w14:paraId="5F6D5939" w14:textId="796F912E" w:rsidR="00807E67" w:rsidRPr="00DE4007" w:rsidRDefault="00807E67" w:rsidP="00A95235">
            <w:pPr>
              <w:rPr>
                <w:rFonts w:ascii="Times New Roman" w:hAnsi="Times New Roman"/>
                <w:i/>
                <w:iCs/>
              </w:rPr>
            </w:pPr>
            <w:r>
              <w:rPr>
                <w:i/>
                <w:iCs/>
              </w:rPr>
              <w:t>1.6.26 – Reviewed with no changes required</w:t>
            </w:r>
          </w:p>
        </w:tc>
      </w:tr>
    </w:tbl>
    <w:p w14:paraId="2DB67CE0" w14:textId="77777777" w:rsidR="00AF33EB" w:rsidRDefault="00AF33EB" w:rsidP="00CC4479"/>
    <w:p w14:paraId="05CAC44A" w14:textId="77777777" w:rsidR="00DE4007" w:rsidRPr="00CC4479" w:rsidRDefault="00DE4007" w:rsidP="00CC4479"/>
    <w:sectPr w:rsidR="00DE4007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99E3" w14:textId="77777777" w:rsidR="00FC033D" w:rsidRDefault="00FC033D" w:rsidP="001234C5">
      <w:r>
        <w:separator/>
      </w:r>
    </w:p>
  </w:endnote>
  <w:endnote w:type="continuationSeparator" w:id="0">
    <w:p w14:paraId="00DDC132" w14:textId="77777777" w:rsidR="00FC033D" w:rsidRDefault="00FC033D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B159" w14:textId="77777777" w:rsidR="00FC033D" w:rsidRDefault="00FC033D" w:rsidP="001234C5">
      <w:r>
        <w:separator/>
      </w:r>
    </w:p>
  </w:footnote>
  <w:footnote w:type="continuationSeparator" w:id="0">
    <w:p w14:paraId="3D743BA3" w14:textId="77777777" w:rsidR="00FC033D" w:rsidRDefault="00FC033D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25.75pt;height:752.25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069524">
    <w:abstractNumId w:val="0"/>
  </w:num>
  <w:num w:numId="2" w16cid:durableId="770931578">
    <w:abstractNumId w:val="1"/>
  </w:num>
  <w:num w:numId="3" w16cid:durableId="1768891354">
    <w:abstractNumId w:val="2"/>
  </w:num>
  <w:num w:numId="4" w16cid:durableId="1811508767">
    <w:abstractNumId w:val="3"/>
  </w:num>
  <w:num w:numId="5" w16cid:durableId="773092045">
    <w:abstractNumId w:val="8"/>
  </w:num>
  <w:num w:numId="6" w16cid:durableId="1163202758">
    <w:abstractNumId w:val="4"/>
  </w:num>
  <w:num w:numId="7" w16cid:durableId="955141885">
    <w:abstractNumId w:val="5"/>
  </w:num>
  <w:num w:numId="8" w16cid:durableId="1780176181">
    <w:abstractNumId w:val="6"/>
  </w:num>
  <w:num w:numId="9" w16cid:durableId="633172794">
    <w:abstractNumId w:val="7"/>
  </w:num>
  <w:num w:numId="10" w16cid:durableId="807357097">
    <w:abstractNumId w:val="9"/>
  </w:num>
  <w:num w:numId="11" w16cid:durableId="1351561850">
    <w:abstractNumId w:val="26"/>
  </w:num>
  <w:num w:numId="12" w16cid:durableId="2042121016">
    <w:abstractNumId w:val="12"/>
  </w:num>
  <w:num w:numId="13" w16cid:durableId="52393130">
    <w:abstractNumId w:val="27"/>
  </w:num>
  <w:num w:numId="14" w16cid:durableId="1324359043">
    <w:abstractNumId w:val="19"/>
  </w:num>
  <w:num w:numId="15" w16cid:durableId="1007094466">
    <w:abstractNumId w:val="10"/>
  </w:num>
  <w:num w:numId="16" w16cid:durableId="681401408">
    <w:abstractNumId w:val="22"/>
  </w:num>
  <w:num w:numId="17" w16cid:durableId="1527405169">
    <w:abstractNumId w:val="23"/>
  </w:num>
  <w:num w:numId="18" w16cid:durableId="1431393297">
    <w:abstractNumId w:val="18"/>
  </w:num>
  <w:num w:numId="19" w16cid:durableId="305473386">
    <w:abstractNumId w:val="15"/>
  </w:num>
  <w:num w:numId="20" w16cid:durableId="1692298174">
    <w:abstractNumId w:val="21"/>
  </w:num>
  <w:num w:numId="21" w16cid:durableId="111287553">
    <w:abstractNumId w:val="28"/>
  </w:num>
  <w:num w:numId="22" w16cid:durableId="398947707">
    <w:abstractNumId w:val="24"/>
  </w:num>
  <w:num w:numId="23" w16cid:durableId="642806488">
    <w:abstractNumId w:val="13"/>
  </w:num>
  <w:num w:numId="24" w16cid:durableId="1161240374">
    <w:abstractNumId w:val="25"/>
  </w:num>
  <w:num w:numId="25" w16cid:durableId="1031882673">
    <w:abstractNumId w:val="20"/>
  </w:num>
  <w:num w:numId="26" w16cid:durableId="1440249600">
    <w:abstractNumId w:val="31"/>
  </w:num>
  <w:num w:numId="27" w16cid:durableId="1182662781">
    <w:abstractNumId w:val="29"/>
  </w:num>
  <w:num w:numId="28" w16cid:durableId="1783919831">
    <w:abstractNumId w:val="17"/>
  </w:num>
  <w:num w:numId="29" w16cid:durableId="483203210">
    <w:abstractNumId w:val="30"/>
  </w:num>
  <w:num w:numId="30" w16cid:durableId="830028865">
    <w:abstractNumId w:val="16"/>
  </w:num>
  <w:num w:numId="31" w16cid:durableId="1512185570">
    <w:abstractNumId w:val="14"/>
  </w:num>
  <w:num w:numId="32" w16cid:durableId="312949523">
    <w:abstractNumId w:val="11"/>
  </w:num>
  <w:num w:numId="33" w16cid:durableId="1175723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942A0"/>
    <w:rsid w:val="000C784A"/>
    <w:rsid w:val="000E4B1A"/>
    <w:rsid w:val="000F0F6F"/>
    <w:rsid w:val="001234C5"/>
    <w:rsid w:val="00135C09"/>
    <w:rsid w:val="00141308"/>
    <w:rsid w:val="00181DFF"/>
    <w:rsid w:val="001C1074"/>
    <w:rsid w:val="001D0159"/>
    <w:rsid w:val="001D302B"/>
    <w:rsid w:val="001D3E27"/>
    <w:rsid w:val="001E47DB"/>
    <w:rsid w:val="0028568E"/>
    <w:rsid w:val="00291E70"/>
    <w:rsid w:val="002B6B86"/>
    <w:rsid w:val="002C2A28"/>
    <w:rsid w:val="00327924"/>
    <w:rsid w:val="00355FCB"/>
    <w:rsid w:val="003572D6"/>
    <w:rsid w:val="003748C4"/>
    <w:rsid w:val="003908E3"/>
    <w:rsid w:val="003922C7"/>
    <w:rsid w:val="003974AD"/>
    <w:rsid w:val="003A1E59"/>
    <w:rsid w:val="003B59D2"/>
    <w:rsid w:val="003C6AF3"/>
    <w:rsid w:val="00413B1C"/>
    <w:rsid w:val="004313F9"/>
    <w:rsid w:val="00432D72"/>
    <w:rsid w:val="00442837"/>
    <w:rsid w:val="004759A0"/>
    <w:rsid w:val="00485B7C"/>
    <w:rsid w:val="004B1B8D"/>
    <w:rsid w:val="004F5F72"/>
    <w:rsid w:val="0050179F"/>
    <w:rsid w:val="00516328"/>
    <w:rsid w:val="005171E5"/>
    <w:rsid w:val="005747B0"/>
    <w:rsid w:val="005A65AA"/>
    <w:rsid w:val="005B5792"/>
    <w:rsid w:val="005C2324"/>
    <w:rsid w:val="005E37E1"/>
    <w:rsid w:val="005F129A"/>
    <w:rsid w:val="00670D10"/>
    <w:rsid w:val="006B7089"/>
    <w:rsid w:val="006C0374"/>
    <w:rsid w:val="006D68D3"/>
    <w:rsid w:val="006E31D0"/>
    <w:rsid w:val="006F4C5A"/>
    <w:rsid w:val="00716402"/>
    <w:rsid w:val="00725C23"/>
    <w:rsid w:val="00761762"/>
    <w:rsid w:val="007A6E64"/>
    <w:rsid w:val="007B70C1"/>
    <w:rsid w:val="007C028E"/>
    <w:rsid w:val="007E22FB"/>
    <w:rsid w:val="007E4F90"/>
    <w:rsid w:val="007F169B"/>
    <w:rsid w:val="00807E67"/>
    <w:rsid w:val="00835864"/>
    <w:rsid w:val="0084307C"/>
    <w:rsid w:val="00855A28"/>
    <w:rsid w:val="008A6BFF"/>
    <w:rsid w:val="008B204B"/>
    <w:rsid w:val="008B49E7"/>
    <w:rsid w:val="008D1B45"/>
    <w:rsid w:val="008E3CD8"/>
    <w:rsid w:val="009001C4"/>
    <w:rsid w:val="00954C8D"/>
    <w:rsid w:val="00971E03"/>
    <w:rsid w:val="009742CC"/>
    <w:rsid w:val="009822BE"/>
    <w:rsid w:val="00985493"/>
    <w:rsid w:val="009B5E16"/>
    <w:rsid w:val="009C5ABA"/>
    <w:rsid w:val="009D353E"/>
    <w:rsid w:val="00A32096"/>
    <w:rsid w:val="00A33B76"/>
    <w:rsid w:val="00A34FCF"/>
    <w:rsid w:val="00A47406"/>
    <w:rsid w:val="00A95235"/>
    <w:rsid w:val="00A95958"/>
    <w:rsid w:val="00AA0E07"/>
    <w:rsid w:val="00AA1CF4"/>
    <w:rsid w:val="00AC54DA"/>
    <w:rsid w:val="00AF17B1"/>
    <w:rsid w:val="00AF33EB"/>
    <w:rsid w:val="00B10445"/>
    <w:rsid w:val="00B10A9C"/>
    <w:rsid w:val="00B35147"/>
    <w:rsid w:val="00B514A6"/>
    <w:rsid w:val="00B53EE2"/>
    <w:rsid w:val="00B62CFC"/>
    <w:rsid w:val="00B7059E"/>
    <w:rsid w:val="00B735D1"/>
    <w:rsid w:val="00BC7B4F"/>
    <w:rsid w:val="00BF4C6B"/>
    <w:rsid w:val="00C05CD5"/>
    <w:rsid w:val="00C321E0"/>
    <w:rsid w:val="00C63863"/>
    <w:rsid w:val="00CC4479"/>
    <w:rsid w:val="00CC4B2A"/>
    <w:rsid w:val="00CC5F2C"/>
    <w:rsid w:val="00D12B40"/>
    <w:rsid w:val="00D15185"/>
    <w:rsid w:val="00D25CA6"/>
    <w:rsid w:val="00D35BE5"/>
    <w:rsid w:val="00D436FE"/>
    <w:rsid w:val="00D93B64"/>
    <w:rsid w:val="00D954AF"/>
    <w:rsid w:val="00DB78DB"/>
    <w:rsid w:val="00DE4007"/>
    <w:rsid w:val="00E0013C"/>
    <w:rsid w:val="00E16646"/>
    <w:rsid w:val="00E207B1"/>
    <w:rsid w:val="00E2404A"/>
    <w:rsid w:val="00E24775"/>
    <w:rsid w:val="00E261C1"/>
    <w:rsid w:val="00E316AC"/>
    <w:rsid w:val="00E41B59"/>
    <w:rsid w:val="00E71EBF"/>
    <w:rsid w:val="00E87A9E"/>
    <w:rsid w:val="00E92D3F"/>
    <w:rsid w:val="00E954A4"/>
    <w:rsid w:val="00E9738E"/>
    <w:rsid w:val="00EB3AE2"/>
    <w:rsid w:val="00EF0051"/>
    <w:rsid w:val="00F075BE"/>
    <w:rsid w:val="00F23E35"/>
    <w:rsid w:val="00F407AA"/>
    <w:rsid w:val="00F846C1"/>
    <w:rsid w:val="00FC033D"/>
    <w:rsid w:val="00FD50DB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docId w15:val="{12B88641-9245-4880-89E8-A85AA493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0" ma:contentTypeDescription="Create a new document." ma:contentTypeScope="" ma:versionID="d14d07780ec67ec2832353aefe5f5465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a52ca47f6fd89865cbdbf64333ac4d34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CE991-E706-4C80-83DB-9DB92AAF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1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7818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2</cp:revision>
  <cp:lastPrinted>2020-06-27T11:08:00Z</cp:lastPrinted>
  <dcterms:created xsi:type="dcterms:W3CDTF">2026-06-01T07:26:00Z</dcterms:created>
  <dcterms:modified xsi:type="dcterms:W3CDTF">2026-06-01T07:26:00Z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